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E62DC" w14:textId="000FEC15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D7F04"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23</w:t>
      </w:r>
      <w:r w:rsidR="000D7F04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096658">
        <w:rPr>
          <w:rFonts w:ascii="Arial" w:eastAsiaTheme="minorEastAsia" w:hAnsi="Arial" w:cs="Arial"/>
          <w:b/>
          <w:sz w:val="24"/>
          <w:szCs w:val="24"/>
          <w:lang w:eastAsia="zh-CN"/>
        </w:rPr>
        <w:t>5204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proofErr w:type="gramEnd"/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2023</w:t>
      </w:r>
    </w:p>
    <w:p w14:paraId="1226C057" w14:textId="38D8DA88" w:rsidR="00E61455" w:rsidRPr="00AB3D40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4219D" w:rsidRPr="0014219D">
        <w:rPr>
          <w:rFonts w:ascii="Arial" w:hAnsi="Arial" w:cs="Arial"/>
          <w:sz w:val="22"/>
          <w:lang w:eastAsia="zh-CN"/>
        </w:rPr>
        <w:t>Applicability of NS_100 for some PC2 FDD bands</w:t>
      </w:r>
    </w:p>
    <w:p w14:paraId="195DA234" w14:textId="44728C7F" w:rsidR="0014219D" w:rsidRPr="00AB3D40" w:rsidRDefault="0014219D" w:rsidP="0014219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Pr="00096658">
        <w:rPr>
          <w:rFonts w:ascii="Arial" w:hAnsi="Arial" w:cs="Arial"/>
          <w:bCs/>
          <w:sz w:val="22"/>
        </w:rPr>
        <w:t>Skyworks Solutions Inc.</w:t>
      </w:r>
    </w:p>
    <w:p w14:paraId="73AD8CE3" w14:textId="253A51A1" w:rsidR="00E61455" w:rsidRPr="00DE53FC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F796C" w:rsidRPr="004F796C">
        <w:rPr>
          <w:rFonts w:ascii="Arial" w:hAnsi="Arial" w:cs="Arial"/>
          <w:sz w:val="22"/>
          <w:lang w:eastAsia="zh-CN"/>
        </w:rPr>
        <w:t>4.22.2</w:t>
      </w:r>
      <w:r w:rsidR="004F796C" w:rsidRPr="004F796C">
        <w:rPr>
          <w:rFonts w:ascii="Arial" w:hAnsi="Arial" w:cs="Arial"/>
          <w:sz w:val="22"/>
          <w:lang w:eastAsia="zh-CN"/>
        </w:rPr>
        <w:tab/>
        <w:t>UE RF requirements</w:t>
      </w:r>
      <w:r w:rsidR="004F796C" w:rsidRPr="004F796C">
        <w:rPr>
          <w:rFonts w:ascii="Arial" w:hAnsi="Arial" w:cs="Arial"/>
          <w:sz w:val="22"/>
          <w:lang w:eastAsia="zh-CN"/>
        </w:rPr>
        <w:tab/>
        <w:t>[HPUE_NR_FR1_FDD_R18]</w:t>
      </w:r>
    </w:p>
    <w:p w14:paraId="5E188A5E" w14:textId="77777777" w:rsidR="00E61455" w:rsidRPr="00AB3D40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  <w:t xml:space="preserve">Background </w:t>
      </w:r>
    </w:p>
    <w:p w14:paraId="1A5E5EB3" w14:textId="5C514B9D" w:rsidR="00F2750F" w:rsidRPr="00AB149D" w:rsidRDefault="003C71D0" w:rsidP="00F2750F">
      <w:pPr>
        <w:spacing w:after="0"/>
      </w:pPr>
      <w:r w:rsidRPr="003C71D0">
        <w:t>In RAN</w:t>
      </w:r>
      <w:r w:rsidR="0014219D">
        <w:t>4</w:t>
      </w:r>
      <w:r w:rsidRPr="003C71D0">
        <w:t>#10</w:t>
      </w:r>
      <w:r w:rsidR="0014219D">
        <w:t>8</w:t>
      </w:r>
      <w:r w:rsidRPr="003C71D0">
        <w:t xml:space="preserve">, </w:t>
      </w:r>
      <w:r w:rsidR="0014219D">
        <w:t xml:space="preserve">RF requirements for </w:t>
      </w:r>
      <w:proofErr w:type="gramStart"/>
      <w:r w:rsidR="0014219D">
        <w:t>a number of</w:t>
      </w:r>
      <w:proofErr w:type="gramEnd"/>
      <w:r w:rsidR="0014219D">
        <w:t xml:space="preserve"> PC2 FDD band</w:t>
      </w:r>
      <w:r w:rsidR="00EB4273">
        <w:t>s</w:t>
      </w:r>
      <w:r w:rsidR="0014219D">
        <w:t xml:space="preserve"> </w:t>
      </w:r>
      <w:r w:rsidR="00EB4273">
        <w:t>were</w:t>
      </w:r>
      <w:r w:rsidR="0014219D">
        <w:t xml:space="preserve"> discussed. If RSD is available for </w:t>
      </w:r>
      <w:r w:rsidR="00EB4273">
        <w:t>multiple</w:t>
      </w:r>
      <w:r w:rsidR="0014219D">
        <w:t xml:space="preserve"> bands, A-MPR for some NS are still </w:t>
      </w:r>
      <w:r w:rsidR="00EB4273">
        <w:t>to be addressed</w:t>
      </w:r>
      <w:r w:rsidR="0014219D">
        <w:t xml:space="preserve">. Within A-MPR, there were questions </w:t>
      </w:r>
      <w:r w:rsidR="005A7926">
        <w:t xml:space="preserve">which </w:t>
      </w:r>
      <w:r w:rsidR="005A7926">
        <w:t>are captured in way forward [1]</w:t>
      </w:r>
      <w:r w:rsidR="005A7926">
        <w:t xml:space="preserve"> </w:t>
      </w:r>
      <w:r w:rsidR="0014219D">
        <w:t>as to the applicability of in-band coexistence with 3G and thus the need to support NS_100</w:t>
      </w:r>
      <w:r w:rsidR="00EB4273">
        <w:t xml:space="preserve"> and</w:t>
      </w:r>
      <w:r w:rsidR="0014219D">
        <w:t xml:space="preserve"> NS_XXU for some bands. In this contribution, we discuss this issue and the fact that UTRA ACLR is not defined for PC2 and finally discuss some alternatives as a way forward.</w:t>
      </w:r>
    </w:p>
    <w:p w14:paraId="61F277A6" w14:textId="47025523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F88F609" w14:textId="371419D0" w:rsidR="0014219D" w:rsidRDefault="0014219D" w:rsidP="0014219D">
      <w:r>
        <w:t xml:space="preserve">When PC2 was first introduced for TDD in </w:t>
      </w:r>
      <w:r w:rsidR="00EB4273">
        <w:t>R</w:t>
      </w:r>
      <w:r>
        <w:t>elease 16 it was agreed</w:t>
      </w:r>
      <w:r w:rsidR="00EB4273">
        <w:t xml:space="preserve"> upon</w:t>
      </w:r>
      <w:r>
        <w:t xml:space="preserve"> that coexistence with UTRA was not necessary and thus UTRA ACLR was not assessed/specified for PC2 nor PC1.5.</w:t>
      </w:r>
    </w:p>
    <w:p w14:paraId="48467EEF" w14:textId="35CE9F93" w:rsidR="0014219D" w:rsidRDefault="0014219D" w:rsidP="0014219D">
      <w:r>
        <w:t xml:space="preserve">However, now that PC2 FDD is introduced in </w:t>
      </w:r>
      <w:r w:rsidR="00EB4273">
        <w:t>R</w:t>
      </w:r>
      <w:r>
        <w:t xml:space="preserve">elease 18, there are </w:t>
      </w:r>
      <w:r w:rsidR="00EB4273">
        <w:t xml:space="preserve">known </w:t>
      </w:r>
      <w:r>
        <w:t>case</w:t>
      </w:r>
      <w:r w:rsidR="00EB4273">
        <w:t>s</w:t>
      </w:r>
      <w:r>
        <w:t xml:space="preserve"> where some bands will still have to coexist with 3G and thus NS_100, NS_03U, NS_05U, </w:t>
      </w:r>
      <w:r w:rsidR="00EB4273">
        <w:t xml:space="preserve">and </w:t>
      </w:r>
      <w:r>
        <w:t>NS_43U may apply</w:t>
      </w:r>
      <w:r w:rsidR="005A7926">
        <w:t>.</w:t>
      </w:r>
    </w:p>
    <w:p w14:paraId="52CCA690" w14:textId="72A0F3DA" w:rsidR="005A7926" w:rsidRDefault="005A7926" w:rsidP="0014219D">
      <w:r>
        <w:t>This issue was captured in way forward [1] as follows:</w:t>
      </w:r>
    </w:p>
    <w:p w14:paraId="50E4C8C0" w14:textId="77777777" w:rsidR="005A7926" w:rsidRPr="005A7926" w:rsidRDefault="005A7926" w:rsidP="005A7926">
      <w:pPr>
        <w:pStyle w:val="Heading3"/>
        <w:rPr>
          <w:i/>
          <w:iCs/>
          <w:lang w:eastAsia="zh-CN"/>
        </w:rPr>
      </w:pPr>
      <w:r w:rsidRPr="005A7926">
        <w:rPr>
          <w:i/>
          <w:iCs/>
        </w:rPr>
        <w:t xml:space="preserve">&lt;Sub-topic </w:t>
      </w:r>
      <w:r w:rsidRPr="005A7926">
        <w:rPr>
          <w:rFonts w:eastAsia="SimSun" w:hint="eastAsia"/>
          <w:i/>
          <w:iCs/>
          <w:lang w:val="en-US" w:eastAsia="zh-CN"/>
        </w:rPr>
        <w:t>2</w:t>
      </w:r>
      <w:r w:rsidRPr="005A7926">
        <w:rPr>
          <w:i/>
          <w:iCs/>
        </w:rPr>
        <w:t>-</w:t>
      </w:r>
      <w:r w:rsidRPr="005A7926">
        <w:rPr>
          <w:rFonts w:eastAsia="SimSun" w:hint="eastAsia"/>
          <w:i/>
          <w:iCs/>
          <w:lang w:val="en-US" w:eastAsia="zh-CN"/>
        </w:rPr>
        <w:t>1 A-MPR for n8</w:t>
      </w:r>
      <w:r w:rsidRPr="005A7926">
        <w:rPr>
          <w:i/>
          <w:iCs/>
        </w:rPr>
        <w:t>&gt;</w:t>
      </w:r>
    </w:p>
    <w:p w14:paraId="73F64D81" w14:textId="77777777" w:rsidR="005A7926" w:rsidRPr="005A7926" w:rsidRDefault="005A7926" w:rsidP="005A7926">
      <w:pPr>
        <w:spacing w:afterLines="50" w:after="120"/>
        <w:rPr>
          <w:i/>
          <w:iCs/>
          <w:strike/>
          <w:szCs w:val="24"/>
          <w:lang w:val="en-US" w:eastAsia="zh-CN"/>
        </w:rPr>
      </w:pPr>
      <w:r w:rsidRPr="005A7926">
        <w:rPr>
          <w:rFonts w:hint="eastAsia"/>
          <w:b/>
          <w:i/>
          <w:iCs/>
          <w:lang w:val="en-US" w:eastAsia="zh-CN"/>
        </w:rPr>
        <w:t>&lt;</w:t>
      </w:r>
      <w:r w:rsidRPr="005A7926">
        <w:rPr>
          <w:b/>
          <w:i/>
          <w:iCs/>
          <w:lang w:eastAsia="zh-CN"/>
        </w:rPr>
        <w:t>Agreement&gt;</w:t>
      </w:r>
      <w:r w:rsidRPr="005A7926">
        <w:rPr>
          <w:rFonts w:hint="eastAsia"/>
          <w:b/>
          <w:i/>
          <w:iCs/>
          <w:lang w:val="en-US" w:eastAsia="zh-CN"/>
        </w:rPr>
        <w:t>:</w:t>
      </w:r>
    </w:p>
    <w:p w14:paraId="4B08534F" w14:textId="77777777" w:rsidR="005A7926" w:rsidRPr="005A7926" w:rsidRDefault="005A7926" w:rsidP="005A7926">
      <w:pPr>
        <w:pStyle w:val="ListParagraph"/>
        <w:numPr>
          <w:ilvl w:val="0"/>
          <w:numId w:val="43"/>
        </w:numPr>
        <w:spacing w:afterLines="50" w:after="120"/>
        <w:ind w:firstLineChars="0"/>
        <w:rPr>
          <w:b/>
          <w:i/>
          <w:iCs/>
          <w:lang w:eastAsia="zh-CN"/>
        </w:rPr>
      </w:pPr>
      <w:r w:rsidRPr="005A7926">
        <w:rPr>
          <w:b/>
          <w:i/>
          <w:iCs/>
          <w:lang w:eastAsia="zh-CN"/>
        </w:rPr>
        <w:t>FFS UTRA ACLR requirement for PC2</w:t>
      </w:r>
    </w:p>
    <w:p w14:paraId="1970EADF" w14:textId="77777777" w:rsidR="005A7926" w:rsidRPr="005A7926" w:rsidRDefault="005A7926" w:rsidP="005A7926">
      <w:pPr>
        <w:pStyle w:val="ListParagraph"/>
        <w:numPr>
          <w:ilvl w:val="0"/>
          <w:numId w:val="43"/>
        </w:numPr>
        <w:spacing w:afterLines="50" w:after="120"/>
        <w:ind w:firstLineChars="0"/>
        <w:rPr>
          <w:b/>
          <w:i/>
          <w:iCs/>
          <w:lang w:eastAsia="zh-CN"/>
        </w:rPr>
      </w:pPr>
      <w:r w:rsidRPr="005A7926">
        <w:rPr>
          <w:b/>
          <w:i/>
          <w:iCs/>
          <w:lang w:eastAsia="zh-CN"/>
        </w:rPr>
        <w:t xml:space="preserve">Use </w:t>
      </w:r>
      <w:proofErr w:type="gramStart"/>
      <w:r w:rsidRPr="005A7926">
        <w:rPr>
          <w:b/>
          <w:i/>
          <w:iCs/>
          <w:lang w:eastAsia="zh-CN"/>
        </w:rPr>
        <w:t>max{</w:t>
      </w:r>
      <w:proofErr w:type="gramEnd"/>
      <w:r w:rsidRPr="005A7926">
        <w:rPr>
          <w:b/>
          <w:i/>
          <w:iCs/>
          <w:lang w:eastAsia="zh-CN"/>
        </w:rPr>
        <w:t>PC2 A-MPR for NS_43, A-MPR for NS_100} as starting point, further study PC2 A-MPR for NS_43U</w:t>
      </w:r>
    </w:p>
    <w:p w14:paraId="23B7EC55" w14:textId="20C1223D" w:rsidR="005A7926" w:rsidRPr="0014219D" w:rsidRDefault="005A7926" w:rsidP="0014219D">
      <w:r>
        <w:t>In this contribution, we discuss the first bullet about UTRA ACLR requirement for PC2 and the resulting A-MPR requirement.</w:t>
      </w:r>
    </w:p>
    <w:p w14:paraId="304C79A7" w14:textId="265EF87E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="00DA267D">
        <w:rPr>
          <w:rFonts w:eastAsia="Arial"/>
          <w:lang w:eastAsia="zh-CN"/>
        </w:rPr>
        <w:t>Current UTRA coexistence requirement</w:t>
      </w:r>
    </w:p>
    <w:p w14:paraId="6E2201B8" w14:textId="7EEB8938" w:rsidR="00DA267D" w:rsidRDefault="00DA267D" w:rsidP="00DA267D">
      <w:r>
        <w:t>Here is an excerpt of the current UTRA ACLR requirement in 38.101-1:</w:t>
      </w:r>
    </w:p>
    <w:p w14:paraId="02C36342" w14:textId="45A39F98" w:rsidR="00DA267D" w:rsidRDefault="00DA267D" w:rsidP="00DA267D">
      <w:pPr>
        <w:spacing w:after="0"/>
      </w:pPr>
      <w:r>
        <w:t>“UTRA</w:t>
      </w:r>
      <w:r>
        <w:rPr>
          <w:vertAlign w:val="subscript"/>
        </w:rPr>
        <w:t>ACLR</w:t>
      </w:r>
      <w:r>
        <w:t xml:space="preserve"> is specified for the first adjacent UTRA channel (UTRA</w:t>
      </w:r>
      <w:r>
        <w:rPr>
          <w:vertAlign w:val="subscript"/>
        </w:rPr>
        <w:t>ACLR1</w:t>
      </w:r>
      <w:r>
        <w:t xml:space="preserve">) which </w:t>
      </w:r>
      <w:proofErr w:type="spellStart"/>
      <w:r>
        <w:t>center</w:t>
      </w:r>
      <w:proofErr w:type="spellEnd"/>
      <w:r>
        <w:t xml:space="preserve"> frequency is ± 2.5 MHz from NR channel edge and for the 2</w:t>
      </w:r>
      <w:r>
        <w:rPr>
          <w:vertAlign w:val="superscript"/>
        </w:rPr>
        <w:t>nd</w:t>
      </w:r>
      <w:r>
        <w:t xml:space="preserve"> adjacent UTRA channel (UTRA</w:t>
      </w:r>
      <w:r>
        <w:rPr>
          <w:vertAlign w:val="subscript"/>
        </w:rPr>
        <w:t>ACLR2</w:t>
      </w:r>
      <w:r>
        <w:t xml:space="preserve">) which </w:t>
      </w:r>
      <w:proofErr w:type="spellStart"/>
      <w:r>
        <w:t>center</w:t>
      </w:r>
      <w:proofErr w:type="spellEnd"/>
      <w:r>
        <w:t xml:space="preserve"> frequency is ± 7.5 MHz from NR channel edge.</w:t>
      </w:r>
    </w:p>
    <w:p w14:paraId="1CC38012" w14:textId="77777777" w:rsidR="00DA267D" w:rsidRDefault="00DA267D" w:rsidP="00DA267D">
      <w:pPr>
        <w:spacing w:after="0"/>
      </w:pPr>
      <w:r>
        <w:t xml:space="preserve">The UTRA channel power is measured with a RRC filter with roll-off factor </w:t>
      </w:r>
      <w:r>
        <w:rPr>
          <w:rFonts w:ascii="Symbol" w:hAnsi="Symbol"/>
        </w:rPr>
        <w:t xml:space="preserve">a </w:t>
      </w:r>
      <w:r>
        <w:t xml:space="preserve">= 0.22 and bandwidth of 3.84 </w:t>
      </w:r>
      <w:proofErr w:type="spellStart"/>
      <w:r>
        <w:t>MHz.</w:t>
      </w:r>
      <w:proofErr w:type="spellEnd"/>
      <w:r>
        <w:t xml:space="preserve"> The assigned NR channel power is measured with a rectangular filter with measurement bandwidth specified in </w:t>
      </w:r>
      <w:r>
        <w:rPr>
          <w:rFonts w:cs="v5.0.0"/>
        </w:rPr>
        <w:t>Table 6.5.2.4.1-1</w:t>
      </w:r>
      <w:r>
        <w:t>.</w:t>
      </w:r>
    </w:p>
    <w:p w14:paraId="1314E2A6" w14:textId="77777777" w:rsidR="00DA267D" w:rsidRDefault="00DA267D" w:rsidP="00DA267D">
      <w:pPr>
        <w:spacing w:after="0"/>
        <w:rPr>
          <w:rFonts w:cs="v5.0.0"/>
        </w:rPr>
      </w:pPr>
      <w:r>
        <w:rPr>
          <w:rFonts w:cs="v5.0.0"/>
        </w:rPr>
        <w:t xml:space="preserve">If the measured adjacent channel power is greater than – 50 dBm then the </w:t>
      </w:r>
      <w:r>
        <w:t>UTRA</w:t>
      </w:r>
      <w:r>
        <w:rPr>
          <w:vertAlign w:val="subscript"/>
        </w:rPr>
        <w:t xml:space="preserve">ACLR1 </w:t>
      </w:r>
      <w:r>
        <w:rPr>
          <w:rFonts w:cs="v5.0.0"/>
        </w:rPr>
        <w:t xml:space="preserve">and </w:t>
      </w:r>
      <w:r>
        <w:t>UTRA</w:t>
      </w:r>
      <w:r>
        <w:rPr>
          <w:vertAlign w:val="subscript"/>
        </w:rPr>
        <w:t>ACLR2</w:t>
      </w:r>
      <w:r>
        <w:rPr>
          <w:rFonts w:cs="v5.0.0"/>
        </w:rPr>
        <w:t xml:space="preserve"> shall be higher than the value specified in Table 6.5.2.4.2-1.</w:t>
      </w:r>
    </w:p>
    <w:p w14:paraId="2347B5F3" w14:textId="77777777" w:rsidR="00DA267D" w:rsidRDefault="00DA267D" w:rsidP="00DA267D">
      <w:pPr>
        <w:spacing w:after="0"/>
        <w:rPr>
          <w:rFonts w:cs="v5.0.0"/>
        </w:rPr>
      </w:pPr>
      <w:r>
        <w:t>UTRA</w:t>
      </w:r>
      <w:r>
        <w:rPr>
          <w:vertAlign w:val="subscript"/>
        </w:rPr>
        <w:t>ACLR</w:t>
      </w:r>
      <w:r>
        <w:t xml:space="preserve"> is not applicable to the power class 3 UE operating in Band n12, n14, n17, and n30.</w:t>
      </w:r>
    </w:p>
    <w:p w14:paraId="111BF53C" w14:textId="77777777" w:rsidR="00DA267D" w:rsidRDefault="00DA267D" w:rsidP="00DA267D">
      <w:pPr>
        <w:spacing w:after="0"/>
        <w:rPr>
          <w:rFonts w:cs="v5.0.0"/>
        </w:rPr>
      </w:pPr>
      <w:r>
        <w:rPr>
          <w:rFonts w:cs="v5.0.0"/>
        </w:rPr>
        <w:t>UTRA</w:t>
      </w:r>
      <w:r>
        <w:rPr>
          <w:rFonts w:cs="v5.0.0"/>
          <w:vertAlign w:val="subscript"/>
        </w:rPr>
        <w:t>ACLR</w:t>
      </w:r>
      <w:r>
        <w:rPr>
          <w:rFonts w:cs="v5.0.0"/>
        </w:rPr>
        <w:t xml:space="preserve"> is not applicable to the power class </w:t>
      </w:r>
      <w:r>
        <w:rPr>
          <w:rFonts w:cs="v5.0.0"/>
          <w:lang w:eastAsia="zh-CN"/>
        </w:rPr>
        <w:t>1</w:t>
      </w:r>
      <w:r>
        <w:rPr>
          <w:rFonts w:cs="v5.0.0"/>
        </w:rPr>
        <w:t xml:space="preserve"> UE operating in Band</w:t>
      </w:r>
      <w:r>
        <w:rPr>
          <w:rFonts w:cs="v5.0.0"/>
          <w:lang w:eastAsia="zh-CN"/>
        </w:rPr>
        <w:t xml:space="preserve"> n14, n71, n85, n100 and n101</w:t>
      </w:r>
      <w:r>
        <w:t>.</w:t>
      </w:r>
    </w:p>
    <w:p w14:paraId="789BBCFC" w14:textId="77777777" w:rsidR="00DA267D" w:rsidRDefault="00DA267D" w:rsidP="00DA267D">
      <w:pPr>
        <w:pStyle w:val="TH"/>
        <w:spacing w:after="0"/>
        <w:rPr>
          <w:rFonts w:cstheme="minorBidi"/>
        </w:rPr>
      </w:pPr>
      <w:r>
        <w:t>Table 6.5.2.4.2-1: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7"/>
      </w:tblGrid>
      <w:tr w:rsidR="00DA267D" w14:paraId="63D413D5" w14:textId="77777777" w:rsidTr="00DA26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69D" w14:textId="77777777" w:rsidR="00DA267D" w:rsidRDefault="00DA267D" w:rsidP="00DA267D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5A46" w14:textId="77777777" w:rsidR="00DA267D" w:rsidRDefault="00DA267D" w:rsidP="00DA267D">
            <w:pPr>
              <w:pStyle w:val="TAH"/>
            </w:pPr>
            <w:r>
              <w:t>Power class 3</w:t>
            </w:r>
          </w:p>
        </w:tc>
      </w:tr>
      <w:tr w:rsidR="00DA267D" w14:paraId="21767E8A" w14:textId="77777777" w:rsidTr="00DA26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BB81" w14:textId="77777777" w:rsidR="00DA267D" w:rsidRDefault="00DA267D" w:rsidP="00DA267D">
            <w:pPr>
              <w:pStyle w:val="TAH"/>
            </w:pPr>
            <w:r>
              <w:t>UTRA</w:t>
            </w:r>
            <w:r>
              <w:rPr>
                <w:vertAlign w:val="subscript"/>
              </w:rPr>
              <w:t>ACLR1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17A2" w14:textId="77777777" w:rsidR="00DA267D" w:rsidRDefault="00DA267D" w:rsidP="00DA267D">
            <w:pPr>
              <w:pStyle w:val="TAC"/>
            </w:pPr>
            <w:r>
              <w:t>33 dB</w:t>
            </w:r>
          </w:p>
        </w:tc>
      </w:tr>
      <w:tr w:rsidR="00DA267D" w14:paraId="4A56D5C3" w14:textId="77777777" w:rsidTr="00DA26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420F" w14:textId="77777777" w:rsidR="00DA267D" w:rsidRDefault="00DA267D" w:rsidP="00DA267D">
            <w:pPr>
              <w:pStyle w:val="TAH"/>
            </w:pPr>
            <w:r>
              <w:t>UTRA</w:t>
            </w:r>
            <w:r>
              <w:rPr>
                <w:vertAlign w:val="subscript"/>
              </w:rPr>
              <w:t>ACLR2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0FB1" w14:textId="77777777" w:rsidR="00DA267D" w:rsidRDefault="00DA267D" w:rsidP="00DA267D">
            <w:pPr>
              <w:pStyle w:val="TAC"/>
            </w:pPr>
            <w:r>
              <w:t>36 dB</w:t>
            </w:r>
          </w:p>
        </w:tc>
      </w:tr>
    </w:tbl>
    <w:p w14:paraId="4CC98A3C" w14:textId="79C9CE06" w:rsidR="00DA267D" w:rsidRPr="00DA267D" w:rsidRDefault="00DA267D" w:rsidP="00DA267D">
      <w:pPr>
        <w:spacing w:after="0"/>
        <w:rPr>
          <w:b/>
          <w:bCs/>
        </w:rPr>
      </w:pPr>
      <w:r w:rsidRPr="00DA267D">
        <w:rPr>
          <w:b/>
          <w:bCs/>
        </w:rPr>
        <w:t>Observations:</w:t>
      </w:r>
    </w:p>
    <w:p w14:paraId="4FBF2240" w14:textId="682E0441" w:rsidR="00DA267D" w:rsidRPr="00DA267D" w:rsidRDefault="00DA267D" w:rsidP="00DA267D">
      <w:pPr>
        <w:pStyle w:val="ListParagraph"/>
        <w:numPr>
          <w:ilvl w:val="0"/>
          <w:numId w:val="38"/>
        </w:numPr>
        <w:spacing w:after="0"/>
        <w:ind w:firstLineChars="0"/>
        <w:rPr>
          <w:rFonts w:cs="v5.0.0"/>
          <w:b/>
          <w:bCs/>
        </w:rPr>
      </w:pPr>
      <w:r w:rsidRPr="00DA267D">
        <w:rPr>
          <w:b/>
          <w:bCs/>
        </w:rPr>
        <w:t>UTRA</w:t>
      </w:r>
      <w:r w:rsidRPr="00DA267D">
        <w:rPr>
          <w:b/>
          <w:bCs/>
          <w:vertAlign w:val="subscript"/>
        </w:rPr>
        <w:t>ACLR</w:t>
      </w:r>
      <w:r w:rsidRPr="00DA267D">
        <w:rPr>
          <w:b/>
          <w:bCs/>
        </w:rPr>
        <w:t xml:space="preserve"> is not applicable to the </w:t>
      </w:r>
      <w:r w:rsidR="00EB4273">
        <w:rPr>
          <w:b/>
          <w:bCs/>
        </w:rPr>
        <w:t>PC</w:t>
      </w:r>
      <w:r w:rsidRPr="00DA267D">
        <w:rPr>
          <w:b/>
          <w:bCs/>
        </w:rPr>
        <w:t>3 UE operating in Band n12, n14, n17, and n30. Thus, it should not be applicable to PC2 either</w:t>
      </w:r>
    </w:p>
    <w:p w14:paraId="4DF1C213" w14:textId="42D642F9" w:rsidR="00DA267D" w:rsidRPr="00DA267D" w:rsidRDefault="00DA267D" w:rsidP="00DA267D">
      <w:pPr>
        <w:pStyle w:val="ListParagraph"/>
        <w:numPr>
          <w:ilvl w:val="0"/>
          <w:numId w:val="38"/>
        </w:numPr>
        <w:spacing w:after="0"/>
        <w:ind w:firstLineChars="0"/>
        <w:rPr>
          <w:rFonts w:cs="v5.0.0"/>
          <w:b/>
          <w:bCs/>
        </w:rPr>
      </w:pPr>
      <w:r w:rsidRPr="00DA267D">
        <w:rPr>
          <w:rFonts w:cs="v5.0.0"/>
          <w:b/>
          <w:bCs/>
        </w:rPr>
        <w:t>UTRA</w:t>
      </w:r>
      <w:r w:rsidRPr="00DA267D">
        <w:rPr>
          <w:rFonts w:cs="v5.0.0"/>
          <w:b/>
          <w:bCs/>
          <w:vertAlign w:val="subscript"/>
        </w:rPr>
        <w:t>ACLR</w:t>
      </w:r>
      <w:r w:rsidRPr="00DA267D">
        <w:rPr>
          <w:rFonts w:cs="v5.0.0"/>
          <w:b/>
          <w:bCs/>
        </w:rPr>
        <w:t xml:space="preserve"> is not applicable to the </w:t>
      </w:r>
      <w:r w:rsidR="00EB4273">
        <w:rPr>
          <w:rFonts w:cs="v5.0.0"/>
          <w:b/>
          <w:bCs/>
        </w:rPr>
        <w:t>PC</w:t>
      </w:r>
      <w:r w:rsidRPr="00DA267D">
        <w:rPr>
          <w:rFonts w:cs="v5.0.0"/>
          <w:b/>
          <w:bCs/>
          <w:lang w:eastAsia="zh-CN"/>
        </w:rPr>
        <w:t>1</w:t>
      </w:r>
      <w:r w:rsidRPr="00DA267D">
        <w:rPr>
          <w:rFonts w:cs="v5.0.0"/>
          <w:b/>
          <w:bCs/>
        </w:rPr>
        <w:t xml:space="preserve"> UE operating in Band</w:t>
      </w:r>
      <w:r w:rsidRPr="00DA267D">
        <w:rPr>
          <w:rFonts w:cs="v5.0.0"/>
          <w:b/>
          <w:bCs/>
          <w:lang w:eastAsia="zh-CN"/>
        </w:rPr>
        <w:t xml:space="preserve"> n14, n71, n85, n100 and n101</w:t>
      </w:r>
      <w:r w:rsidRPr="00DA267D">
        <w:rPr>
          <w:b/>
          <w:bCs/>
        </w:rPr>
        <w:t>.</w:t>
      </w:r>
      <w:r w:rsidR="00D464A4">
        <w:rPr>
          <w:b/>
          <w:bCs/>
        </w:rPr>
        <w:t xml:space="preserve"> </w:t>
      </w:r>
      <w:r w:rsidRPr="00DA267D">
        <w:rPr>
          <w:b/>
          <w:bCs/>
        </w:rPr>
        <w:t xml:space="preserve">Since PC1 NR ACLR is already </w:t>
      </w:r>
      <w:r w:rsidR="00EB4273">
        <w:rPr>
          <w:b/>
          <w:bCs/>
        </w:rPr>
        <w:t>high</w:t>
      </w:r>
      <w:r w:rsidRPr="00DA267D">
        <w:rPr>
          <w:b/>
          <w:bCs/>
        </w:rPr>
        <w:t xml:space="preserve"> it is probably </w:t>
      </w:r>
      <w:r w:rsidR="00EB4273">
        <w:rPr>
          <w:b/>
          <w:bCs/>
        </w:rPr>
        <w:t>satisfactory</w:t>
      </w:r>
      <w:r w:rsidRPr="00DA267D">
        <w:rPr>
          <w:b/>
          <w:bCs/>
        </w:rPr>
        <w:t xml:space="preserve"> for UTRA ACLR too</w:t>
      </w:r>
      <w:r w:rsidR="00EB4273">
        <w:rPr>
          <w:b/>
          <w:bCs/>
        </w:rPr>
        <w:t>.</w:t>
      </w:r>
    </w:p>
    <w:p w14:paraId="0A25DDD5" w14:textId="020ED241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="00DA267D">
        <w:rPr>
          <w:rFonts w:eastAsia="Arial"/>
          <w:lang w:eastAsia="zh-CN"/>
        </w:rPr>
        <w:t>PC2 bands that have UTRA requirement for PC</w:t>
      </w:r>
      <w:r w:rsidR="00027F03">
        <w:rPr>
          <w:rFonts w:eastAsia="Arial"/>
          <w:lang w:eastAsia="zh-CN"/>
        </w:rPr>
        <w:t>3</w:t>
      </w:r>
    </w:p>
    <w:p w14:paraId="27755B8D" w14:textId="1A6756B5" w:rsidR="00027F03" w:rsidRPr="00027F03" w:rsidRDefault="00027F03" w:rsidP="00027F03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The bands highlighted in yellow in Table 1 are bands </w:t>
      </w:r>
      <w:r w:rsidR="00EB4273">
        <w:rPr>
          <w:rFonts w:eastAsia="Arial"/>
          <w:lang w:eastAsia="zh-CN"/>
        </w:rPr>
        <w:t xml:space="preserve">that have been </w:t>
      </w:r>
      <w:r>
        <w:rPr>
          <w:rFonts w:eastAsia="Arial"/>
          <w:lang w:eastAsia="zh-CN"/>
        </w:rPr>
        <w:t>requested for PC2</w:t>
      </w:r>
      <w:r w:rsidR="00EB4273">
        <w:rPr>
          <w:rFonts w:eastAsia="Arial"/>
          <w:lang w:eastAsia="zh-CN"/>
        </w:rPr>
        <w:t xml:space="preserve"> and that</w:t>
      </w:r>
      <w:r>
        <w:rPr>
          <w:rFonts w:eastAsia="Arial"/>
          <w:lang w:eastAsia="zh-CN"/>
        </w:rPr>
        <w:t xml:space="preserve"> have an UTRA coexistence related NS for PC3</w:t>
      </w:r>
      <w:r w:rsidR="00EB4273">
        <w:rPr>
          <w:rFonts w:eastAsia="Arial"/>
          <w:lang w:eastAsia="zh-CN"/>
        </w:rPr>
        <w:t>.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645"/>
        <w:gridCol w:w="1260"/>
      </w:tblGrid>
      <w:tr w:rsidR="00027F03" w:rsidRPr="00A1115A" w14:paraId="2F908BD4" w14:textId="77777777" w:rsidTr="00027F03">
        <w:trPr>
          <w:trHeight w:val="24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CC75" w14:textId="77777777" w:rsidR="00027F03" w:rsidRPr="00A1115A" w:rsidRDefault="00027F03" w:rsidP="00410555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9F8" w14:textId="77777777" w:rsidR="00027F03" w:rsidRPr="00A1115A" w:rsidRDefault="00027F03" w:rsidP="00410555">
            <w:pPr>
              <w:pStyle w:val="TAH"/>
            </w:pPr>
            <w:r w:rsidRPr="00A1115A">
              <w:t>NR Band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AB2" w14:textId="77777777" w:rsidR="00027F03" w:rsidRPr="00A1115A" w:rsidRDefault="00027F03" w:rsidP="00410555">
            <w:pPr>
              <w:pStyle w:val="TAH"/>
            </w:pPr>
            <w:r w:rsidRPr="00A1115A">
              <w:t>Channel bandwidth (MHz)</w:t>
            </w:r>
          </w:p>
        </w:tc>
      </w:tr>
      <w:tr w:rsidR="00027F03" w:rsidRPr="00A1115A" w14:paraId="3ECAAA86" w14:textId="77777777" w:rsidTr="00027F03">
        <w:trPr>
          <w:trHeight w:val="187"/>
          <w:jc w:val="center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9BE1" w14:textId="77777777" w:rsidR="00027F03" w:rsidRPr="00A1115A" w:rsidRDefault="00027F03" w:rsidP="00410555">
            <w:pPr>
              <w:pStyle w:val="TAC"/>
            </w:pPr>
            <w:r w:rsidRPr="00A1115A">
              <w:t>NS_03U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5E3" w14:textId="77777777" w:rsidR="00027F03" w:rsidRPr="00027F03" w:rsidRDefault="00027F03" w:rsidP="00410555">
            <w:pPr>
              <w:pStyle w:val="TAC"/>
            </w:pPr>
            <w:r w:rsidRPr="00027F03">
              <w:rPr>
                <w:highlight w:val="yellow"/>
              </w:rPr>
              <w:t>n2, n25, n66</w:t>
            </w:r>
            <w:r w:rsidRPr="00027F03">
              <w:t>, n86 (NOTE 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EA9F" w14:textId="77777777" w:rsidR="00027F03" w:rsidRPr="00A1115A" w:rsidRDefault="00027F03" w:rsidP="00410555">
            <w:pPr>
              <w:pStyle w:val="TAC"/>
            </w:pPr>
          </w:p>
        </w:tc>
      </w:tr>
      <w:tr w:rsidR="00027F03" w:rsidRPr="00A1115A" w14:paraId="26F1F925" w14:textId="77777777" w:rsidTr="00027F03">
        <w:trPr>
          <w:trHeight w:val="18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CA61" w14:textId="77777777" w:rsidR="00027F03" w:rsidRPr="00A1115A" w:rsidRDefault="00027F03" w:rsidP="00410555">
            <w:pPr>
              <w:pStyle w:val="TAC"/>
            </w:pPr>
            <w:r w:rsidRPr="00A1115A">
              <w:t>NS_05U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0D6" w14:textId="77777777" w:rsidR="00027F03" w:rsidRPr="00027F03" w:rsidRDefault="00027F03" w:rsidP="00410555">
            <w:pPr>
              <w:pStyle w:val="TAC"/>
            </w:pPr>
            <w:r w:rsidRPr="00027F03">
              <w:rPr>
                <w:highlight w:val="yellow"/>
              </w:rPr>
              <w:t>n1</w:t>
            </w:r>
            <w:r w:rsidRPr="00027F03">
              <w:t>, n65, n84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1BC" w14:textId="77777777" w:rsidR="00027F03" w:rsidRPr="00A1115A" w:rsidRDefault="00027F03" w:rsidP="00410555">
            <w:pPr>
              <w:pStyle w:val="TAC"/>
            </w:pPr>
            <w:r w:rsidRPr="00A1115A">
              <w:t>5, 10, 15, 20</w:t>
            </w:r>
          </w:p>
        </w:tc>
      </w:tr>
      <w:tr w:rsidR="00027F03" w:rsidRPr="00A1115A" w14:paraId="735F174A" w14:textId="77777777" w:rsidTr="00027F03">
        <w:trPr>
          <w:trHeight w:val="18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F65" w14:textId="77777777" w:rsidR="00027F03" w:rsidRPr="00A1115A" w:rsidRDefault="00027F03" w:rsidP="00410555">
            <w:pPr>
              <w:pStyle w:val="TAC"/>
            </w:pPr>
            <w:r w:rsidRPr="00A1115A">
              <w:t>NS_43U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B275" w14:textId="77777777" w:rsidR="00027F03" w:rsidRPr="00027F03" w:rsidRDefault="00027F03" w:rsidP="00410555">
            <w:pPr>
              <w:pStyle w:val="TAC"/>
            </w:pPr>
            <w:r w:rsidRPr="00027F03">
              <w:rPr>
                <w:highlight w:val="yellow"/>
              </w:rPr>
              <w:t>n8</w:t>
            </w:r>
            <w:r w:rsidRPr="00027F03">
              <w:t>, n81 (NOTE 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0B98" w14:textId="77777777" w:rsidR="00027F03" w:rsidRPr="00A1115A" w:rsidRDefault="00027F03" w:rsidP="00410555">
            <w:pPr>
              <w:pStyle w:val="TAC"/>
            </w:pPr>
            <w:r w:rsidRPr="00A1115A">
              <w:t>5, 10, 15</w:t>
            </w:r>
          </w:p>
        </w:tc>
      </w:tr>
      <w:tr w:rsidR="00027F03" w:rsidRPr="00A1115A" w14:paraId="0AA50D86" w14:textId="77777777" w:rsidTr="00027F03">
        <w:trPr>
          <w:trHeight w:val="187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0FE" w14:textId="77777777" w:rsidR="00027F03" w:rsidRPr="00A1115A" w:rsidRDefault="00027F03" w:rsidP="00410555">
            <w:pPr>
              <w:pStyle w:val="TAC"/>
            </w:pPr>
            <w:r w:rsidRPr="00A1115A">
              <w:t>NS_100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390" w14:textId="38466AB5" w:rsidR="00027F03" w:rsidRPr="00027F03" w:rsidRDefault="00027F03" w:rsidP="00027F03">
            <w:pPr>
              <w:pStyle w:val="TAC"/>
            </w:pPr>
            <w:r w:rsidRPr="00027F03">
              <w:rPr>
                <w:highlight w:val="yellow"/>
              </w:rPr>
              <w:t>n1, n2, n3, n5, n8</w:t>
            </w:r>
            <w:r w:rsidRPr="00027F03">
              <w:t xml:space="preserve">, n18, </w:t>
            </w:r>
            <w:r w:rsidRPr="00027F03">
              <w:rPr>
                <w:highlight w:val="yellow"/>
              </w:rPr>
              <w:t>n25, n26</w:t>
            </w:r>
            <w:r w:rsidRPr="00027F03">
              <w:t xml:space="preserve">, n65, </w:t>
            </w:r>
            <w:r w:rsidRPr="00027F03">
              <w:rPr>
                <w:highlight w:val="yellow"/>
              </w:rPr>
              <w:t>n66</w:t>
            </w:r>
            <w:r w:rsidRPr="00027F03">
              <w:t>, n80, n81, n84, n86, n89 (NOTE 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A41B" w14:textId="77777777" w:rsidR="00027F03" w:rsidRPr="00A1115A" w:rsidRDefault="00027F03" w:rsidP="00410555">
            <w:pPr>
              <w:pStyle w:val="TAC"/>
            </w:pPr>
          </w:p>
        </w:tc>
      </w:tr>
    </w:tbl>
    <w:p w14:paraId="77442D6F" w14:textId="0D8FE906" w:rsidR="00B3335D" w:rsidRDefault="00B3335D" w:rsidP="00B3335D">
      <w:pPr>
        <w:spacing w:after="0"/>
        <w:rPr>
          <w:rFonts w:eastAsia="Arial"/>
          <w:lang w:eastAsia="zh-CN"/>
        </w:rPr>
      </w:pPr>
    </w:p>
    <w:p w14:paraId="207EE346" w14:textId="7632F9A9" w:rsidR="00972831" w:rsidRPr="00972831" w:rsidRDefault="00B3335D" w:rsidP="00972831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As </w:t>
      </w:r>
      <w:r w:rsidR="00EB4273">
        <w:rPr>
          <w:rFonts w:eastAsia="Arial"/>
          <w:lang w:eastAsia="zh-CN"/>
        </w:rPr>
        <w:t>shown</w:t>
      </w:r>
      <w:r>
        <w:rPr>
          <w:rFonts w:eastAsia="Arial"/>
          <w:lang w:eastAsia="zh-CN"/>
        </w:rPr>
        <w:t xml:space="preserve"> above, there </w:t>
      </w:r>
      <w:r w:rsidR="00EB4273">
        <w:rPr>
          <w:rFonts w:eastAsia="Arial"/>
          <w:lang w:eastAsia="zh-CN"/>
        </w:rPr>
        <w:t>are a multitude of</w:t>
      </w:r>
      <w:r>
        <w:rPr>
          <w:rFonts w:eastAsia="Arial"/>
          <w:lang w:eastAsia="zh-CN"/>
        </w:rPr>
        <w:t xml:space="preserve"> PC2 bands that may be required to support UTRA coexistence </w:t>
      </w:r>
      <w:r w:rsidR="00EB4273">
        <w:rPr>
          <w:rFonts w:eastAsia="Arial"/>
          <w:lang w:eastAsia="zh-CN"/>
        </w:rPr>
        <w:t>similarly to</w:t>
      </w:r>
      <w:r>
        <w:rPr>
          <w:rFonts w:eastAsia="Arial"/>
          <w:lang w:eastAsia="zh-CN"/>
        </w:rPr>
        <w:t xml:space="preserve"> PC3</w:t>
      </w:r>
      <w:r w:rsidR="00EB4273">
        <w:rPr>
          <w:rFonts w:eastAsia="Arial"/>
          <w:lang w:eastAsia="zh-CN"/>
        </w:rPr>
        <w:t>,</w:t>
      </w:r>
      <w:r>
        <w:rPr>
          <w:rFonts w:eastAsia="Arial"/>
          <w:lang w:eastAsia="zh-CN"/>
        </w:rPr>
        <w:t xml:space="preserve"> and th</w:t>
      </w:r>
      <w:r w:rsidR="00EB4273">
        <w:rPr>
          <w:rFonts w:eastAsia="Arial"/>
          <w:lang w:eastAsia="zh-CN"/>
        </w:rPr>
        <w:t xml:space="preserve">is </w:t>
      </w:r>
      <w:r>
        <w:rPr>
          <w:rFonts w:eastAsia="Arial"/>
          <w:lang w:eastAsia="zh-CN"/>
        </w:rPr>
        <w:t>includes bands completed in Release 17.</w:t>
      </w:r>
    </w:p>
    <w:p w14:paraId="39CBA718" w14:textId="77777777" w:rsidR="00972831" w:rsidRDefault="00972831" w:rsidP="00DA267D">
      <w:pPr>
        <w:rPr>
          <w:rFonts w:eastAsia="Arial"/>
          <w:lang w:eastAsia="zh-CN"/>
        </w:rPr>
      </w:pPr>
    </w:p>
    <w:p w14:paraId="7054C966" w14:textId="2CD8B956" w:rsidR="00B3335D" w:rsidRDefault="00B3335D" w:rsidP="00B3335D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>2.2 Options for PC2 UTRA coexistence requirement</w:t>
      </w:r>
    </w:p>
    <w:p w14:paraId="1A0D2F8C" w14:textId="3C0CC966" w:rsidR="00B3335D" w:rsidRDefault="00B3335D" w:rsidP="00B3335D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If some PC2 FDD bands </w:t>
      </w:r>
      <w:r w:rsidR="00EB4273">
        <w:rPr>
          <w:rFonts w:eastAsia="Arial"/>
          <w:lang w:eastAsia="zh-CN"/>
        </w:rPr>
        <w:t>must</w:t>
      </w:r>
      <w:r>
        <w:rPr>
          <w:rFonts w:eastAsia="Arial"/>
          <w:lang w:eastAsia="zh-CN"/>
        </w:rPr>
        <w:t xml:space="preserve"> support coexistence with UTRA, to derive an ACLR1 and ACLR2 specification, RAN4 would </w:t>
      </w:r>
      <w:r w:rsidR="002076A9">
        <w:rPr>
          <w:rFonts w:eastAsia="Arial"/>
          <w:lang w:eastAsia="zh-CN"/>
        </w:rPr>
        <w:t>typically conduct</w:t>
      </w:r>
      <w:r>
        <w:rPr>
          <w:rFonts w:eastAsia="Arial"/>
          <w:lang w:eastAsia="zh-CN"/>
        </w:rPr>
        <w:t xml:space="preserve"> coexistence simulation and derive related ACS and ACLR. It should be noted that PC2 NR coexistence simulations </w:t>
      </w:r>
      <w:r w:rsidR="002076A9">
        <w:rPr>
          <w:rFonts w:eastAsia="Arial"/>
          <w:lang w:eastAsia="zh-CN"/>
        </w:rPr>
        <w:t>demonstrated</w:t>
      </w:r>
      <w:r>
        <w:rPr>
          <w:rFonts w:eastAsia="Arial"/>
          <w:lang w:eastAsia="zh-CN"/>
        </w:rPr>
        <w:t xml:space="preserve"> that only </w:t>
      </w:r>
      <w:r w:rsidR="002076A9">
        <w:rPr>
          <w:rFonts w:eastAsia="Arial"/>
          <w:lang w:eastAsia="zh-CN"/>
        </w:rPr>
        <w:t xml:space="preserve">a </w:t>
      </w:r>
      <w:r>
        <w:rPr>
          <w:rFonts w:eastAsia="Arial"/>
          <w:lang w:eastAsia="zh-CN"/>
        </w:rPr>
        <w:t xml:space="preserve">1dB more stringent ACLR was </w:t>
      </w:r>
      <w:r w:rsidR="002076A9">
        <w:rPr>
          <w:rFonts w:eastAsia="Arial"/>
          <w:lang w:eastAsia="zh-CN"/>
        </w:rPr>
        <w:t>satisfactory</w:t>
      </w:r>
      <w:r>
        <w:rPr>
          <w:rFonts w:eastAsia="Arial"/>
          <w:lang w:eastAsia="zh-CN"/>
        </w:rPr>
        <w:t xml:space="preserve"> for both PC2 and PC1.5 compared to PC3.</w:t>
      </w:r>
    </w:p>
    <w:p w14:paraId="1CB69BAD" w14:textId="6406D151" w:rsidR="00B3335D" w:rsidRDefault="00B3335D" w:rsidP="00B3335D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One </w:t>
      </w:r>
      <w:r w:rsidR="002076A9">
        <w:rPr>
          <w:rFonts w:eastAsia="Arial"/>
          <w:lang w:eastAsia="zh-CN"/>
        </w:rPr>
        <w:t xml:space="preserve">possible </w:t>
      </w:r>
      <w:r>
        <w:rPr>
          <w:rFonts w:eastAsia="Arial"/>
          <w:lang w:eastAsia="zh-CN"/>
        </w:rPr>
        <w:t xml:space="preserve">approach to avoid lengthy coexistence simulations is to also make the UTRA ACLR 1dB more </w:t>
      </w:r>
      <w:r w:rsidR="002076A9">
        <w:rPr>
          <w:rFonts w:eastAsia="Arial"/>
          <w:lang w:eastAsia="zh-CN"/>
        </w:rPr>
        <w:t>demanding</w:t>
      </w:r>
      <w:r>
        <w:rPr>
          <w:rFonts w:eastAsia="Arial"/>
          <w:lang w:eastAsia="zh-CN"/>
        </w:rPr>
        <w:t xml:space="preserve"> and then </w:t>
      </w:r>
      <w:proofErr w:type="spellStart"/>
      <w:r>
        <w:rPr>
          <w:rFonts w:eastAsia="Arial"/>
          <w:lang w:eastAsia="zh-CN"/>
        </w:rPr>
        <w:t>verifiy</w:t>
      </w:r>
      <w:proofErr w:type="spellEnd"/>
      <w:r>
        <w:rPr>
          <w:rFonts w:eastAsia="Arial"/>
          <w:lang w:eastAsia="zh-CN"/>
        </w:rPr>
        <w:t xml:space="preserve"> that the same A-MPR applies for PC2 than PC3 for the UTRA ACLR related NS.</w:t>
      </w:r>
    </w:p>
    <w:p w14:paraId="6423F171" w14:textId="156784AC" w:rsidR="00972831" w:rsidRDefault="00B3335D" w:rsidP="00B3335D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Another option is to accept a </w:t>
      </w:r>
      <w:r w:rsidR="002076A9">
        <w:rPr>
          <w:rFonts w:eastAsia="Arial"/>
          <w:lang w:eastAsia="zh-CN"/>
        </w:rPr>
        <w:t>minimal</w:t>
      </w:r>
      <w:r>
        <w:rPr>
          <w:rFonts w:eastAsia="Arial"/>
          <w:lang w:eastAsia="zh-CN"/>
        </w:rPr>
        <w:t xml:space="preserve"> coexistence </w:t>
      </w:r>
      <w:r w:rsidR="00972831">
        <w:rPr>
          <w:rFonts w:eastAsia="Arial"/>
          <w:lang w:eastAsia="zh-CN"/>
        </w:rPr>
        <w:t xml:space="preserve">degradation for UTRA and </w:t>
      </w:r>
      <w:r w:rsidR="002076A9">
        <w:rPr>
          <w:rFonts w:eastAsia="Arial"/>
          <w:lang w:eastAsia="zh-CN"/>
        </w:rPr>
        <w:t>maintain a</w:t>
      </w:r>
      <w:r w:rsidR="00972831">
        <w:rPr>
          <w:rFonts w:eastAsia="Arial"/>
          <w:lang w:eastAsia="zh-CN"/>
        </w:rPr>
        <w:t xml:space="preserve"> PC2 ACLR th</w:t>
      </w:r>
      <w:r w:rsidR="002076A9">
        <w:rPr>
          <w:rFonts w:eastAsia="Arial"/>
          <w:lang w:eastAsia="zh-CN"/>
        </w:rPr>
        <w:t xml:space="preserve">at is identical to </w:t>
      </w:r>
      <w:r w:rsidR="00972831">
        <w:rPr>
          <w:rFonts w:eastAsia="Arial"/>
          <w:lang w:eastAsia="zh-CN"/>
        </w:rPr>
        <w:t>PC3</w:t>
      </w:r>
      <w:r w:rsidR="002076A9">
        <w:rPr>
          <w:rFonts w:eastAsia="Arial"/>
          <w:lang w:eastAsia="zh-CN"/>
        </w:rPr>
        <w:t>,</w:t>
      </w:r>
      <w:r w:rsidR="00972831">
        <w:rPr>
          <w:rFonts w:eastAsia="Arial"/>
          <w:lang w:eastAsia="zh-CN"/>
        </w:rPr>
        <w:t xml:space="preserve"> and then </w:t>
      </w:r>
      <w:r w:rsidR="002076A9">
        <w:rPr>
          <w:rFonts w:eastAsia="Arial"/>
          <w:lang w:eastAsia="zh-CN"/>
        </w:rPr>
        <w:t xml:space="preserve">a </w:t>
      </w:r>
      <w:r w:rsidR="00972831">
        <w:rPr>
          <w:rFonts w:eastAsia="Arial"/>
          <w:lang w:eastAsia="zh-CN"/>
        </w:rPr>
        <w:t>PC3 UTRA related A-MPR can be reused as is.</w:t>
      </w:r>
    </w:p>
    <w:p w14:paraId="77EEA437" w14:textId="100F7386" w:rsidR="00972831" w:rsidRPr="00D15535" w:rsidRDefault="00972831" w:rsidP="00D15535">
      <w:pPr>
        <w:spacing w:after="0"/>
        <w:rPr>
          <w:rFonts w:eastAsia="Arial"/>
          <w:b/>
          <w:bCs/>
          <w:lang w:eastAsia="zh-CN"/>
        </w:rPr>
      </w:pPr>
      <w:r w:rsidRPr="00D15535">
        <w:rPr>
          <w:rFonts w:eastAsia="Arial"/>
          <w:b/>
          <w:bCs/>
          <w:lang w:eastAsia="zh-CN"/>
        </w:rPr>
        <w:t xml:space="preserve">Proposal: Alternatives to complete PC2 FDD bands </w:t>
      </w:r>
      <w:r w:rsidR="002076A9">
        <w:rPr>
          <w:rFonts w:eastAsia="Arial"/>
          <w:b/>
          <w:bCs/>
          <w:lang w:eastAsia="zh-CN"/>
        </w:rPr>
        <w:t>in compliance with</w:t>
      </w:r>
      <w:r w:rsidRPr="00D15535">
        <w:rPr>
          <w:rFonts w:eastAsia="Arial"/>
          <w:b/>
          <w:bCs/>
          <w:lang w:eastAsia="zh-CN"/>
        </w:rPr>
        <w:t xml:space="preserve"> UTRA requirement:</w:t>
      </w:r>
    </w:p>
    <w:p w14:paraId="3B1E6837" w14:textId="76FDF141" w:rsidR="00972831" w:rsidRPr="00D15535" w:rsidRDefault="00972831" w:rsidP="00D15535">
      <w:pPr>
        <w:pStyle w:val="ListParagraph"/>
        <w:numPr>
          <w:ilvl w:val="0"/>
          <w:numId w:val="39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D15535">
        <w:rPr>
          <w:rFonts w:eastAsia="Arial"/>
          <w:b/>
          <w:bCs/>
          <w:lang w:eastAsia="zh-CN"/>
        </w:rPr>
        <w:t xml:space="preserve">UTRA ACLR is not specified for PC2 and no </w:t>
      </w:r>
      <w:r w:rsidR="00FC6C9A">
        <w:rPr>
          <w:rFonts w:eastAsia="Arial"/>
          <w:b/>
          <w:bCs/>
          <w:lang w:eastAsia="zh-CN"/>
        </w:rPr>
        <w:t xml:space="preserve">related </w:t>
      </w:r>
      <w:r w:rsidRPr="00D15535">
        <w:rPr>
          <w:rFonts w:eastAsia="Arial"/>
          <w:b/>
          <w:bCs/>
          <w:lang w:eastAsia="zh-CN"/>
        </w:rPr>
        <w:t>A-MPR is needed</w:t>
      </w:r>
      <w:r w:rsidR="00FC6C9A">
        <w:rPr>
          <w:rFonts w:eastAsia="Arial"/>
          <w:b/>
          <w:bCs/>
          <w:lang w:eastAsia="zh-CN"/>
        </w:rPr>
        <w:t xml:space="preserve"> for PC2</w:t>
      </w:r>
      <w:r w:rsidRPr="00D15535">
        <w:rPr>
          <w:rFonts w:eastAsia="Arial"/>
          <w:b/>
          <w:bCs/>
          <w:lang w:eastAsia="zh-CN"/>
        </w:rPr>
        <w:t xml:space="preserve"> =&gt; clarify in UTRA ACLR section that </w:t>
      </w:r>
      <w:r w:rsidR="00FC6C9A">
        <w:rPr>
          <w:rFonts w:eastAsia="Arial"/>
          <w:b/>
          <w:bCs/>
          <w:lang w:eastAsia="zh-CN"/>
        </w:rPr>
        <w:t>it</w:t>
      </w:r>
      <w:r w:rsidR="002076A9">
        <w:rPr>
          <w:rFonts w:eastAsia="Arial"/>
          <w:b/>
          <w:bCs/>
          <w:lang w:eastAsia="zh-CN"/>
        </w:rPr>
        <w:t xml:space="preserve"> </w:t>
      </w:r>
      <w:r w:rsidRPr="00D15535">
        <w:rPr>
          <w:rFonts w:eastAsia="Arial"/>
          <w:b/>
          <w:bCs/>
          <w:lang w:eastAsia="zh-CN"/>
        </w:rPr>
        <w:t>does not apply for PC2</w:t>
      </w:r>
    </w:p>
    <w:p w14:paraId="13353DD6" w14:textId="599F5B93" w:rsidR="00972831" w:rsidRPr="00D15535" w:rsidRDefault="00972831" w:rsidP="00D15535">
      <w:pPr>
        <w:pStyle w:val="ListParagraph"/>
        <w:numPr>
          <w:ilvl w:val="0"/>
          <w:numId w:val="39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D15535">
        <w:rPr>
          <w:rFonts w:eastAsia="Arial"/>
          <w:b/>
          <w:bCs/>
          <w:lang w:eastAsia="zh-CN"/>
        </w:rPr>
        <w:t>Use PC3 UTRA ACLR1/2 for PC2</w:t>
      </w:r>
      <w:r w:rsidR="00D15535" w:rsidRPr="00D15535">
        <w:rPr>
          <w:rFonts w:eastAsia="Arial"/>
          <w:b/>
          <w:bCs/>
          <w:lang w:eastAsia="zh-CN"/>
        </w:rPr>
        <w:t xml:space="preserve"> =&gt; since PC2 NR ACLR is 1dB more </w:t>
      </w:r>
      <w:r w:rsidR="002076A9">
        <w:rPr>
          <w:rFonts w:eastAsia="Arial"/>
          <w:b/>
          <w:bCs/>
          <w:lang w:eastAsia="zh-CN"/>
        </w:rPr>
        <w:t>demanding</w:t>
      </w:r>
      <w:r w:rsidR="00D15535" w:rsidRPr="00D15535">
        <w:rPr>
          <w:rFonts w:eastAsia="Arial"/>
          <w:b/>
          <w:bCs/>
          <w:lang w:eastAsia="zh-CN"/>
        </w:rPr>
        <w:t xml:space="preserve"> </w:t>
      </w:r>
      <w:r w:rsidR="002076A9">
        <w:rPr>
          <w:rFonts w:eastAsia="Arial"/>
          <w:b/>
          <w:bCs/>
          <w:lang w:eastAsia="zh-CN"/>
        </w:rPr>
        <w:t>as compared to</w:t>
      </w:r>
      <w:r w:rsidR="00D15535" w:rsidRPr="00D15535">
        <w:rPr>
          <w:rFonts w:eastAsia="Arial"/>
          <w:b/>
          <w:bCs/>
          <w:lang w:eastAsia="zh-CN"/>
        </w:rPr>
        <w:t xml:space="preserve"> PC3, the PC3 UTRA ACLR A-MPR is likely to </w:t>
      </w:r>
      <w:r w:rsidR="002076A9">
        <w:rPr>
          <w:rFonts w:eastAsia="Arial"/>
          <w:b/>
          <w:bCs/>
          <w:lang w:eastAsia="zh-CN"/>
        </w:rPr>
        <w:t>function properly,</w:t>
      </w:r>
      <w:r w:rsidR="00D15535" w:rsidRPr="00D15535">
        <w:rPr>
          <w:rFonts w:eastAsia="Arial"/>
          <w:b/>
          <w:bCs/>
          <w:lang w:eastAsia="zh-CN"/>
        </w:rPr>
        <w:t xml:space="preserve"> as is</w:t>
      </w:r>
      <w:r w:rsidR="002076A9">
        <w:rPr>
          <w:rFonts w:eastAsia="Arial"/>
          <w:b/>
          <w:bCs/>
          <w:lang w:eastAsia="zh-CN"/>
        </w:rPr>
        <w:t>,</w:t>
      </w:r>
      <w:r w:rsidR="00D15535" w:rsidRPr="00D15535">
        <w:rPr>
          <w:rFonts w:eastAsia="Arial"/>
          <w:b/>
          <w:bCs/>
          <w:lang w:eastAsia="zh-CN"/>
        </w:rPr>
        <w:t xml:space="preserve"> for PC2</w:t>
      </w:r>
    </w:p>
    <w:p w14:paraId="02217DF8" w14:textId="410D6D5C" w:rsidR="00D15535" w:rsidRPr="00D15535" w:rsidRDefault="00D15535" w:rsidP="00D15535">
      <w:pPr>
        <w:pStyle w:val="ListParagraph"/>
        <w:numPr>
          <w:ilvl w:val="0"/>
          <w:numId w:val="39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D15535">
        <w:rPr>
          <w:rFonts w:eastAsia="Arial"/>
          <w:b/>
          <w:bCs/>
          <w:lang w:eastAsia="zh-CN"/>
        </w:rPr>
        <w:t>M</w:t>
      </w:r>
      <w:r>
        <w:rPr>
          <w:rFonts w:eastAsia="Arial"/>
          <w:b/>
          <w:bCs/>
          <w:lang w:eastAsia="zh-CN"/>
        </w:rPr>
        <w:t>a</w:t>
      </w:r>
      <w:r w:rsidRPr="00D15535">
        <w:rPr>
          <w:rFonts w:eastAsia="Arial"/>
          <w:b/>
          <w:bCs/>
          <w:lang w:eastAsia="zh-CN"/>
        </w:rPr>
        <w:t xml:space="preserve">ke PC2 UTRA ACLR1/2 1dB more stringent </w:t>
      </w:r>
      <w:r w:rsidR="002076A9">
        <w:rPr>
          <w:rFonts w:eastAsia="Arial"/>
          <w:b/>
          <w:bCs/>
          <w:lang w:eastAsia="zh-CN"/>
        </w:rPr>
        <w:t>compared to</w:t>
      </w:r>
      <w:r w:rsidRPr="00D15535">
        <w:rPr>
          <w:rFonts w:eastAsia="Arial"/>
          <w:b/>
          <w:bCs/>
          <w:lang w:eastAsia="zh-CN"/>
        </w:rPr>
        <w:t xml:space="preserve"> PC3 =&gt; since PC2 NR ACLR is 1dB more </w:t>
      </w:r>
      <w:r w:rsidR="002076A9">
        <w:rPr>
          <w:rFonts w:eastAsia="Arial"/>
          <w:b/>
          <w:bCs/>
          <w:lang w:eastAsia="zh-CN"/>
        </w:rPr>
        <w:t>demanding as compared to</w:t>
      </w:r>
      <w:r w:rsidRPr="00D15535">
        <w:rPr>
          <w:rFonts w:eastAsia="Arial"/>
          <w:b/>
          <w:bCs/>
          <w:lang w:eastAsia="zh-CN"/>
        </w:rPr>
        <w:t xml:space="preserve"> PC3, the PC3 UTRA ACLR A-MPR may </w:t>
      </w:r>
      <w:r w:rsidR="002076A9">
        <w:rPr>
          <w:rFonts w:eastAsia="Arial"/>
          <w:b/>
          <w:bCs/>
          <w:lang w:eastAsia="zh-CN"/>
        </w:rPr>
        <w:t>function properly,</w:t>
      </w:r>
      <w:r w:rsidRPr="00D15535">
        <w:rPr>
          <w:rFonts w:eastAsia="Arial"/>
          <w:b/>
          <w:bCs/>
          <w:lang w:eastAsia="zh-CN"/>
        </w:rPr>
        <w:t xml:space="preserve"> </w:t>
      </w:r>
      <w:r>
        <w:rPr>
          <w:rFonts w:eastAsia="Arial"/>
          <w:b/>
          <w:bCs/>
          <w:lang w:eastAsia="zh-CN"/>
        </w:rPr>
        <w:t xml:space="preserve">but should be checked </w:t>
      </w:r>
      <w:r w:rsidR="002076A9">
        <w:rPr>
          <w:rFonts w:eastAsia="Arial"/>
          <w:b/>
          <w:bCs/>
          <w:lang w:eastAsia="zh-CN"/>
        </w:rPr>
        <w:t>to verify</w:t>
      </w:r>
      <w:r>
        <w:rPr>
          <w:rFonts w:eastAsia="Arial"/>
          <w:b/>
          <w:bCs/>
          <w:lang w:eastAsia="zh-CN"/>
        </w:rPr>
        <w:t xml:space="preserve"> relevant bands</w:t>
      </w:r>
    </w:p>
    <w:p w14:paraId="1C1CD8FF" w14:textId="3A1D8C74" w:rsidR="00D15535" w:rsidRPr="00D15535" w:rsidRDefault="00D15535" w:rsidP="00D15535">
      <w:pPr>
        <w:pStyle w:val="ListParagraph"/>
        <w:numPr>
          <w:ilvl w:val="0"/>
          <w:numId w:val="39"/>
        </w:numPr>
        <w:spacing w:after="0"/>
        <w:ind w:firstLineChars="0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>Establish the PC2 UTRA ACLR1/2 requirement via coexistence simulations and then check PC2 UTRA related A-MPR for relevant bands</w:t>
      </w: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08582F1D" w14:textId="5C11BE04" w:rsidR="006C0252" w:rsidRDefault="006C0252" w:rsidP="00BA56F6">
      <w:r>
        <w:t xml:space="preserve">In this contribution, we have </w:t>
      </w:r>
      <w:r w:rsidR="002076A9">
        <w:t>d</w:t>
      </w:r>
      <w:r w:rsidR="00D15535">
        <w:t xml:space="preserve">iscussed the UTRA coexistence requirement for PC2 FDD </w:t>
      </w:r>
      <w:proofErr w:type="gramStart"/>
      <w:r w:rsidR="00D15535">
        <w:t>bands</w:t>
      </w:r>
      <w:r>
        <w:t>, and</w:t>
      </w:r>
      <w:proofErr w:type="gramEnd"/>
      <w:r>
        <w:t xml:space="preserve"> make the following proposal.</w:t>
      </w:r>
    </w:p>
    <w:p w14:paraId="79164F7B" w14:textId="77777777" w:rsidR="00FC6C9A" w:rsidRPr="00D15535" w:rsidRDefault="00FC6C9A" w:rsidP="00FC6C9A">
      <w:pPr>
        <w:spacing w:after="0"/>
        <w:rPr>
          <w:rFonts w:eastAsia="Arial"/>
          <w:b/>
          <w:bCs/>
          <w:lang w:eastAsia="zh-CN"/>
        </w:rPr>
      </w:pPr>
      <w:r w:rsidRPr="00D15535">
        <w:rPr>
          <w:rFonts w:eastAsia="Arial"/>
          <w:b/>
          <w:bCs/>
          <w:lang w:eastAsia="zh-CN"/>
        </w:rPr>
        <w:t xml:space="preserve">Proposal: Alternatives to complete PC2 FDD bands </w:t>
      </w:r>
      <w:r>
        <w:rPr>
          <w:rFonts w:eastAsia="Arial"/>
          <w:b/>
          <w:bCs/>
          <w:lang w:eastAsia="zh-CN"/>
        </w:rPr>
        <w:t>in compliance with</w:t>
      </w:r>
      <w:r w:rsidRPr="00D15535">
        <w:rPr>
          <w:rFonts w:eastAsia="Arial"/>
          <w:b/>
          <w:bCs/>
          <w:lang w:eastAsia="zh-CN"/>
        </w:rPr>
        <w:t xml:space="preserve"> UTRA requirement:</w:t>
      </w:r>
    </w:p>
    <w:p w14:paraId="67F42255" w14:textId="77777777" w:rsidR="00FC6C9A" w:rsidRPr="00D15535" w:rsidRDefault="00FC6C9A" w:rsidP="00FC6C9A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D15535">
        <w:rPr>
          <w:rFonts w:eastAsia="Arial"/>
          <w:b/>
          <w:bCs/>
          <w:lang w:eastAsia="zh-CN"/>
        </w:rPr>
        <w:t xml:space="preserve">UTRA ACLR is not specified for PC2 and no </w:t>
      </w:r>
      <w:r>
        <w:rPr>
          <w:rFonts w:eastAsia="Arial"/>
          <w:b/>
          <w:bCs/>
          <w:lang w:eastAsia="zh-CN"/>
        </w:rPr>
        <w:t xml:space="preserve">related </w:t>
      </w:r>
      <w:r w:rsidRPr="00D15535">
        <w:rPr>
          <w:rFonts w:eastAsia="Arial"/>
          <w:b/>
          <w:bCs/>
          <w:lang w:eastAsia="zh-CN"/>
        </w:rPr>
        <w:t>A-MPR is needed</w:t>
      </w:r>
      <w:r>
        <w:rPr>
          <w:rFonts w:eastAsia="Arial"/>
          <w:b/>
          <w:bCs/>
          <w:lang w:eastAsia="zh-CN"/>
        </w:rPr>
        <w:t xml:space="preserve"> for PC2</w:t>
      </w:r>
      <w:r w:rsidRPr="00D15535">
        <w:rPr>
          <w:rFonts w:eastAsia="Arial"/>
          <w:b/>
          <w:bCs/>
          <w:lang w:eastAsia="zh-CN"/>
        </w:rPr>
        <w:t xml:space="preserve"> =&gt; clarify in UTRA ACLR section that </w:t>
      </w:r>
      <w:r>
        <w:rPr>
          <w:rFonts w:eastAsia="Arial"/>
          <w:b/>
          <w:bCs/>
          <w:lang w:eastAsia="zh-CN"/>
        </w:rPr>
        <w:t xml:space="preserve">it </w:t>
      </w:r>
      <w:r w:rsidRPr="00D15535">
        <w:rPr>
          <w:rFonts w:eastAsia="Arial"/>
          <w:b/>
          <w:bCs/>
          <w:lang w:eastAsia="zh-CN"/>
        </w:rPr>
        <w:t>does not apply for PC2</w:t>
      </w:r>
    </w:p>
    <w:p w14:paraId="1BD61270" w14:textId="77777777" w:rsidR="00FC6C9A" w:rsidRPr="00D15535" w:rsidRDefault="00FC6C9A" w:rsidP="00FC6C9A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D15535">
        <w:rPr>
          <w:rFonts w:eastAsia="Arial"/>
          <w:b/>
          <w:bCs/>
          <w:lang w:eastAsia="zh-CN"/>
        </w:rPr>
        <w:t xml:space="preserve">Use PC3 UTRA ACLR1/2 for PC2 =&gt; since PC2 NR ACLR is 1dB more </w:t>
      </w:r>
      <w:r>
        <w:rPr>
          <w:rFonts w:eastAsia="Arial"/>
          <w:b/>
          <w:bCs/>
          <w:lang w:eastAsia="zh-CN"/>
        </w:rPr>
        <w:t>demanding</w:t>
      </w:r>
      <w:r w:rsidRPr="00D15535">
        <w:rPr>
          <w:rFonts w:eastAsia="Arial"/>
          <w:b/>
          <w:bCs/>
          <w:lang w:eastAsia="zh-CN"/>
        </w:rPr>
        <w:t xml:space="preserve"> </w:t>
      </w:r>
      <w:r>
        <w:rPr>
          <w:rFonts w:eastAsia="Arial"/>
          <w:b/>
          <w:bCs/>
          <w:lang w:eastAsia="zh-CN"/>
        </w:rPr>
        <w:t>as compared to</w:t>
      </w:r>
      <w:r w:rsidRPr="00D15535">
        <w:rPr>
          <w:rFonts w:eastAsia="Arial"/>
          <w:b/>
          <w:bCs/>
          <w:lang w:eastAsia="zh-CN"/>
        </w:rPr>
        <w:t xml:space="preserve"> PC3, the PC3 UTRA ACLR A-MPR is likely to </w:t>
      </w:r>
      <w:r>
        <w:rPr>
          <w:rFonts w:eastAsia="Arial"/>
          <w:b/>
          <w:bCs/>
          <w:lang w:eastAsia="zh-CN"/>
        </w:rPr>
        <w:t>function properly,</w:t>
      </w:r>
      <w:r w:rsidRPr="00D15535">
        <w:rPr>
          <w:rFonts w:eastAsia="Arial"/>
          <w:b/>
          <w:bCs/>
          <w:lang w:eastAsia="zh-CN"/>
        </w:rPr>
        <w:t xml:space="preserve"> as is</w:t>
      </w:r>
      <w:r>
        <w:rPr>
          <w:rFonts w:eastAsia="Arial"/>
          <w:b/>
          <w:bCs/>
          <w:lang w:eastAsia="zh-CN"/>
        </w:rPr>
        <w:t>,</w:t>
      </w:r>
      <w:r w:rsidRPr="00D15535">
        <w:rPr>
          <w:rFonts w:eastAsia="Arial"/>
          <w:b/>
          <w:bCs/>
          <w:lang w:eastAsia="zh-CN"/>
        </w:rPr>
        <w:t xml:space="preserve"> for PC2</w:t>
      </w:r>
    </w:p>
    <w:p w14:paraId="7E8E1A51" w14:textId="77777777" w:rsidR="00FC6C9A" w:rsidRPr="00D15535" w:rsidRDefault="00FC6C9A" w:rsidP="00FC6C9A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D15535">
        <w:rPr>
          <w:rFonts w:eastAsia="Arial"/>
          <w:b/>
          <w:bCs/>
          <w:lang w:eastAsia="zh-CN"/>
        </w:rPr>
        <w:t>M</w:t>
      </w:r>
      <w:r>
        <w:rPr>
          <w:rFonts w:eastAsia="Arial"/>
          <w:b/>
          <w:bCs/>
          <w:lang w:eastAsia="zh-CN"/>
        </w:rPr>
        <w:t>a</w:t>
      </w:r>
      <w:r w:rsidRPr="00D15535">
        <w:rPr>
          <w:rFonts w:eastAsia="Arial"/>
          <w:b/>
          <w:bCs/>
          <w:lang w:eastAsia="zh-CN"/>
        </w:rPr>
        <w:t xml:space="preserve">ke PC2 UTRA ACLR1/2 1dB more stringent </w:t>
      </w:r>
      <w:r>
        <w:rPr>
          <w:rFonts w:eastAsia="Arial"/>
          <w:b/>
          <w:bCs/>
          <w:lang w:eastAsia="zh-CN"/>
        </w:rPr>
        <w:t>compared to</w:t>
      </w:r>
      <w:r w:rsidRPr="00D15535">
        <w:rPr>
          <w:rFonts w:eastAsia="Arial"/>
          <w:b/>
          <w:bCs/>
          <w:lang w:eastAsia="zh-CN"/>
        </w:rPr>
        <w:t xml:space="preserve"> PC3 =&gt; since PC2 NR ACLR is 1dB more </w:t>
      </w:r>
      <w:r>
        <w:rPr>
          <w:rFonts w:eastAsia="Arial"/>
          <w:b/>
          <w:bCs/>
          <w:lang w:eastAsia="zh-CN"/>
        </w:rPr>
        <w:t>demanding as compared to</w:t>
      </w:r>
      <w:r w:rsidRPr="00D15535">
        <w:rPr>
          <w:rFonts w:eastAsia="Arial"/>
          <w:b/>
          <w:bCs/>
          <w:lang w:eastAsia="zh-CN"/>
        </w:rPr>
        <w:t xml:space="preserve"> PC3, the PC3 UTRA ACLR A-MPR may </w:t>
      </w:r>
      <w:r>
        <w:rPr>
          <w:rFonts w:eastAsia="Arial"/>
          <w:b/>
          <w:bCs/>
          <w:lang w:eastAsia="zh-CN"/>
        </w:rPr>
        <w:t>function properly,</w:t>
      </w:r>
      <w:r w:rsidRPr="00D15535">
        <w:rPr>
          <w:rFonts w:eastAsia="Arial"/>
          <w:b/>
          <w:bCs/>
          <w:lang w:eastAsia="zh-CN"/>
        </w:rPr>
        <w:t xml:space="preserve"> </w:t>
      </w:r>
      <w:r>
        <w:rPr>
          <w:rFonts w:eastAsia="Arial"/>
          <w:b/>
          <w:bCs/>
          <w:lang w:eastAsia="zh-CN"/>
        </w:rPr>
        <w:t>but should be checked to verify relevant bands</w:t>
      </w:r>
    </w:p>
    <w:p w14:paraId="2C948824" w14:textId="77777777" w:rsidR="00FC6C9A" w:rsidRPr="00D15535" w:rsidRDefault="00FC6C9A" w:rsidP="00FC6C9A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>Establish the PC2 UTRA ACLR1/2 requirement via coexistence simulations and then check PC2 UTRA related A-MPR for relevant bands</w:t>
      </w:r>
    </w:p>
    <w:p w14:paraId="0F79C49E" w14:textId="20E341BD" w:rsidR="00B465A4" w:rsidRDefault="00F2750F" w:rsidP="002076A9">
      <w:pPr>
        <w:pStyle w:val="Heading1"/>
        <w:numPr>
          <w:ilvl w:val="0"/>
          <w:numId w:val="42"/>
        </w:numPr>
        <w:ind w:left="567" w:hanging="567"/>
      </w:pPr>
      <w:r>
        <w:t>References</w:t>
      </w:r>
    </w:p>
    <w:p w14:paraId="2A3C70E3" w14:textId="77777777" w:rsidR="005A7926" w:rsidRDefault="005A7926" w:rsidP="005A7926">
      <w:pPr>
        <w:spacing w:after="0"/>
      </w:pPr>
      <w:r>
        <w:t>[1] R4-2314646 WF on high power UE for FDD single bands, China Unicom, RAN4#108</w:t>
      </w:r>
    </w:p>
    <w:p w14:paraId="495DB02C" w14:textId="77777777" w:rsidR="005A7926" w:rsidRPr="005A7926" w:rsidRDefault="005A7926" w:rsidP="005A7926"/>
    <w:sectPr w:rsidR="005A7926" w:rsidRPr="005A792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42735" w14:textId="77777777" w:rsidR="00EC4CF0" w:rsidRPr="00A10429" w:rsidRDefault="00EC4CF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1F52AAE" w14:textId="77777777" w:rsidR="00EC4CF0" w:rsidRPr="00A10429" w:rsidRDefault="00EC4CF0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EE69722" w14:textId="77777777" w:rsidR="00EC4CF0" w:rsidRDefault="00EC4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4BE5A" w14:textId="77777777" w:rsidR="00EC4CF0" w:rsidRPr="00A10429" w:rsidRDefault="00EC4CF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26DD81F" w14:textId="77777777" w:rsidR="00EC4CF0" w:rsidRPr="00A10429" w:rsidRDefault="00EC4CF0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18C572A" w14:textId="77777777" w:rsidR="00EC4CF0" w:rsidRDefault="00EC4C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B431DA"/>
    <w:multiLevelType w:val="multilevel"/>
    <w:tmpl w:val="0BB431D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1092F33"/>
    <w:multiLevelType w:val="hybridMultilevel"/>
    <w:tmpl w:val="EB8AB1F0"/>
    <w:lvl w:ilvl="0" w:tplc="EA3C9D9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007B0"/>
    <w:multiLevelType w:val="hybridMultilevel"/>
    <w:tmpl w:val="4D96D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E34BD"/>
    <w:multiLevelType w:val="hybridMultilevel"/>
    <w:tmpl w:val="F98AD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22375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C409CD"/>
    <w:multiLevelType w:val="hybridMultilevel"/>
    <w:tmpl w:val="4D96D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32"/>
  </w:num>
  <w:num w:numId="4">
    <w:abstractNumId w:val="16"/>
  </w:num>
  <w:num w:numId="5">
    <w:abstractNumId w:val="9"/>
  </w:num>
  <w:num w:numId="6">
    <w:abstractNumId w:val="23"/>
  </w:num>
  <w:num w:numId="7">
    <w:abstractNumId w:val="8"/>
  </w:num>
  <w:num w:numId="8">
    <w:abstractNumId w:val="22"/>
  </w:num>
  <w:num w:numId="9">
    <w:abstractNumId w:val="34"/>
  </w:num>
  <w:num w:numId="10">
    <w:abstractNumId w:val="34"/>
  </w:num>
  <w:num w:numId="11">
    <w:abstractNumId w:val="2"/>
  </w:num>
  <w:num w:numId="12">
    <w:abstractNumId w:val="12"/>
  </w:num>
  <w:num w:numId="13">
    <w:abstractNumId w:val="11"/>
  </w:num>
  <w:num w:numId="14">
    <w:abstractNumId w:val="30"/>
  </w:num>
  <w:num w:numId="15">
    <w:abstractNumId w:val="34"/>
  </w:num>
  <w:num w:numId="16">
    <w:abstractNumId w:val="34"/>
  </w:num>
  <w:num w:numId="17">
    <w:abstractNumId w:val="21"/>
  </w:num>
  <w:num w:numId="18">
    <w:abstractNumId w:val="35"/>
  </w:num>
  <w:num w:numId="19">
    <w:abstractNumId w:val="34"/>
  </w:num>
  <w:num w:numId="20">
    <w:abstractNumId w:val="10"/>
  </w:num>
  <w:num w:numId="21">
    <w:abstractNumId w:val="34"/>
  </w:num>
  <w:num w:numId="22">
    <w:abstractNumId w:val="34"/>
  </w:num>
  <w:num w:numId="23">
    <w:abstractNumId w:val="13"/>
  </w:num>
  <w:num w:numId="24">
    <w:abstractNumId w:val="4"/>
  </w:num>
  <w:num w:numId="25">
    <w:abstractNumId w:val="1"/>
  </w:num>
  <w:num w:numId="26">
    <w:abstractNumId w:val="14"/>
  </w:num>
  <w:num w:numId="27">
    <w:abstractNumId w:val="15"/>
  </w:num>
  <w:num w:numId="28">
    <w:abstractNumId w:val="24"/>
  </w:num>
  <w:num w:numId="29">
    <w:abstractNumId w:val="28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25"/>
  </w:num>
  <w:num w:numId="35">
    <w:abstractNumId w:val="33"/>
  </w:num>
  <w:num w:numId="36">
    <w:abstractNumId w:val="31"/>
  </w:num>
  <w:num w:numId="37">
    <w:abstractNumId w:val="17"/>
  </w:num>
  <w:num w:numId="38">
    <w:abstractNumId w:val="26"/>
  </w:num>
  <w:num w:numId="39">
    <w:abstractNumId w:val="7"/>
  </w:num>
  <w:num w:numId="40">
    <w:abstractNumId w:val="29"/>
  </w:num>
  <w:num w:numId="41">
    <w:abstractNumId w:val="27"/>
  </w:num>
  <w:num w:numId="42">
    <w:abstractNumId w:val="5"/>
  </w:num>
  <w:num w:numId="4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F03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658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19D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6A9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D34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96C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926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2862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831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35D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535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4A4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960"/>
    <w:rsid w:val="00DA15F8"/>
    <w:rsid w:val="00DA16CB"/>
    <w:rsid w:val="00DA1AF0"/>
    <w:rsid w:val="00DA1E3C"/>
    <w:rsid w:val="00DA224E"/>
    <w:rsid w:val="00DA23A0"/>
    <w:rsid w:val="00DA267D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73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4CF0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416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6C9A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2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Skyworks</cp:lastModifiedBy>
  <cp:revision>5</cp:revision>
  <dcterms:created xsi:type="dcterms:W3CDTF">2023-09-26T09:53:00Z</dcterms:created>
  <dcterms:modified xsi:type="dcterms:W3CDTF">2023-09-26T22:21:00Z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